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33591130"/>
    <w:p w:rsidR="00DF40C2" w:rsidRPr="00205E68" w:rsidRDefault="00DF40C2" w:rsidP="00DF40C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bCs/>
          <w:caps/>
          <w:kern w:val="0"/>
          <w:sz w:val="28"/>
          <w:szCs w:val="28"/>
          <w:lang w:eastAsia="uk-UA"/>
        </w:rPr>
      </w:pP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begin"/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instrText xml:space="preserve"> MERGEFIELD Організправова_форма </w:instrTex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separate"/>
      </w:r>
      <w:r w:rsidRPr="00201096">
        <w:rPr>
          <w:rFonts w:cs="Times New Roman"/>
          <w:b/>
          <w:bCs/>
          <w:caps/>
          <w:noProof/>
          <w:kern w:val="0"/>
          <w:sz w:val="28"/>
          <w:szCs w:val="28"/>
          <w:lang w:eastAsia="uk-UA"/>
        </w:rPr>
        <w:t>ПУБЛІЧНЕ АКЦІОНЕРНЕ ТОВАРИСТВО</w: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end"/>
      </w:r>
    </w:p>
    <w:p w:rsidR="00DF40C2" w:rsidRPr="00205E68" w:rsidRDefault="00DF40C2" w:rsidP="00DF40C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bCs/>
          <w:caps/>
          <w:kern w:val="0"/>
          <w:sz w:val="28"/>
          <w:szCs w:val="28"/>
          <w:lang w:eastAsia="uk-UA"/>
        </w:rPr>
      </w:pP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begin"/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instrText xml:space="preserve"> MERGEFIELD Субєкт_аудиту </w:instrTex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separate"/>
      </w:r>
      <w:r w:rsidRPr="00201096">
        <w:rPr>
          <w:rFonts w:cs="Times New Roman"/>
          <w:b/>
          <w:bCs/>
          <w:caps/>
          <w:noProof/>
          <w:kern w:val="0"/>
          <w:sz w:val="28"/>
          <w:szCs w:val="28"/>
          <w:lang w:eastAsia="uk-UA"/>
        </w:rPr>
        <w:t>МУКАЧІВСЬКА ТРИКОТАЖНА ФАБРИКА МРІЯ</w:t>
      </w:r>
      <w:r w:rsidRPr="00205E68">
        <w:rPr>
          <w:rFonts w:cs="Times New Roman"/>
          <w:b/>
          <w:bCs/>
          <w:caps/>
          <w:kern w:val="0"/>
          <w:sz w:val="28"/>
          <w:szCs w:val="28"/>
          <w:lang w:eastAsia="uk-UA"/>
        </w:rPr>
        <w:fldChar w:fldCharType="end"/>
      </w:r>
    </w:p>
    <w:p w:rsidR="00DF40C2" w:rsidRPr="00205E68" w:rsidRDefault="00DF40C2" w:rsidP="00DF40C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/>
          <w:bCs/>
          <w:kern w:val="0"/>
          <w:sz w:val="28"/>
          <w:szCs w:val="28"/>
          <w:lang w:eastAsia="uk-UA"/>
        </w:rPr>
      </w:pPr>
    </w:p>
    <w:p w:rsidR="00DF40C2" w:rsidRPr="00205E68" w:rsidRDefault="00DF40C2" w:rsidP="00DF40C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Cs/>
          <w:kern w:val="0"/>
          <w:sz w:val="28"/>
          <w:szCs w:val="28"/>
          <w:lang w:eastAsia="uk-UA"/>
        </w:rPr>
      </w:pPr>
      <w:r w:rsidRPr="00205E68">
        <w:rPr>
          <w:rFonts w:cs="Times New Roman"/>
          <w:bCs/>
          <w:kern w:val="0"/>
          <w:sz w:val="28"/>
          <w:szCs w:val="28"/>
          <w:lang w:eastAsia="uk-UA"/>
        </w:rPr>
        <w:t>ФІНАНСОВА ЗВІТНІСТЬ</w:t>
      </w:r>
    </w:p>
    <w:p w:rsidR="00DF40C2" w:rsidRPr="00205E68" w:rsidRDefault="00DF40C2" w:rsidP="00DF40C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bCs/>
          <w:kern w:val="0"/>
          <w:sz w:val="28"/>
          <w:szCs w:val="28"/>
          <w:lang w:eastAsia="uk-UA"/>
        </w:rPr>
      </w:pPr>
      <w:r w:rsidRPr="00205E68">
        <w:rPr>
          <w:rFonts w:cs="Times New Roman"/>
          <w:bCs/>
          <w:kern w:val="0"/>
          <w:sz w:val="28"/>
          <w:szCs w:val="28"/>
          <w:lang w:eastAsia="uk-UA"/>
        </w:rPr>
        <w:t xml:space="preserve">за рік, що закінчився </w:t>
      </w:r>
      <w:r w:rsidRPr="00205E68">
        <w:rPr>
          <w:rFonts w:cs="Times New Roman"/>
          <w:bCs/>
          <w:kern w:val="0"/>
          <w:sz w:val="28"/>
          <w:szCs w:val="28"/>
          <w:lang w:eastAsia="uk-UA"/>
        </w:rPr>
        <w:fldChar w:fldCharType="begin"/>
      </w:r>
      <w:r w:rsidRPr="00205E68">
        <w:rPr>
          <w:rFonts w:cs="Times New Roman"/>
          <w:bCs/>
          <w:kern w:val="0"/>
          <w:sz w:val="28"/>
          <w:szCs w:val="28"/>
          <w:lang w:eastAsia="uk-UA"/>
        </w:rPr>
        <w:instrText xml:space="preserve"> MERGEFIELD Період_фінансової_звітності </w:instrText>
      </w:r>
      <w:r w:rsidRPr="00205E68">
        <w:rPr>
          <w:rFonts w:cs="Times New Roman"/>
          <w:bCs/>
          <w:kern w:val="0"/>
          <w:sz w:val="28"/>
          <w:szCs w:val="28"/>
          <w:lang w:eastAsia="uk-UA"/>
        </w:rPr>
        <w:fldChar w:fldCharType="separate"/>
      </w:r>
      <w:r w:rsidRPr="00201096">
        <w:rPr>
          <w:rFonts w:cs="Times New Roman"/>
          <w:bCs/>
          <w:noProof/>
          <w:kern w:val="0"/>
          <w:sz w:val="28"/>
          <w:szCs w:val="28"/>
          <w:lang w:eastAsia="uk-UA"/>
        </w:rPr>
        <w:t>31 грудня 2021</w:t>
      </w:r>
      <w:r w:rsidRPr="00205E68">
        <w:rPr>
          <w:rFonts w:cs="Times New Roman"/>
          <w:bCs/>
          <w:kern w:val="0"/>
          <w:sz w:val="28"/>
          <w:szCs w:val="28"/>
          <w:lang w:eastAsia="uk-UA"/>
        </w:rPr>
        <w:fldChar w:fldCharType="end"/>
      </w:r>
      <w:r w:rsidRPr="00205E68">
        <w:rPr>
          <w:rFonts w:cs="Times New Roman"/>
          <w:bCs/>
          <w:kern w:val="0"/>
          <w:sz w:val="28"/>
          <w:szCs w:val="28"/>
          <w:lang w:eastAsia="uk-UA"/>
        </w:rPr>
        <w:t xml:space="preserve"> року</w:t>
      </w:r>
    </w:p>
    <w:p w:rsidR="00DF40C2" w:rsidRDefault="00DF40C2" w:rsidP="00DF40C2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40C2" w:rsidRDefault="00DF40C2" w:rsidP="00DF40C2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40C2" w:rsidRPr="00205E68" w:rsidRDefault="00DF40C2" w:rsidP="00DF40C2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E68">
        <w:rPr>
          <w:rFonts w:ascii="Times New Roman" w:hAnsi="Times New Roman" w:cs="Times New Roman"/>
          <w:b/>
          <w:sz w:val="24"/>
          <w:szCs w:val="24"/>
        </w:rPr>
        <w:t>ЗВІТ ПРО СУКУПНИЙ ДОХІД</w:t>
      </w:r>
      <w:bookmarkEnd w:id="0"/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05E68">
        <w:rPr>
          <w:rFonts w:ascii="Times New Roman" w:hAnsi="Times New Roman" w:cs="Times New Roman"/>
          <w:b w:val="0"/>
          <w:sz w:val="24"/>
          <w:szCs w:val="24"/>
        </w:rPr>
        <w:instrText xml:space="preserve"> MERGEFIELD  Період_фінансової_звітності  \* MERGEFORMAT </w:instrTex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A407D0">
        <w:rPr>
          <w:rFonts w:ascii="Times New Roman" w:hAnsi="Times New Roman" w:cs="Times New Roman"/>
          <w:b w:val="0"/>
          <w:noProof/>
          <w:sz w:val="24"/>
          <w:szCs w:val="24"/>
        </w:rPr>
        <w:t>31 грудня 2021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540"/>
        <w:gridCol w:w="1120"/>
        <w:gridCol w:w="1620"/>
        <w:gridCol w:w="1620"/>
      </w:tblGrid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Примітки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2020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Чистий дохід від реалізації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27 203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21 121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Собівартість реалізації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(20 550)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(16 292)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Валовий прибуток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6 653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4 829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операційні доходи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9 811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87 779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Адміністративні витрати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(5 117)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(4 018)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Витрати на збут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(472)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(426)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операційні витрати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(3 349)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(43 105)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Операційний прибуток (збиток)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7 526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45 059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Фінансові доходи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Фінансові витрати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(1 934)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(1 874)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доходи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53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витрати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(95)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(87)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Прибуток (збиток) до оподаткування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43 151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Витрати з податку на прибуток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(-)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(-)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Чистий прибуток (збиток) за період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43 151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Інший сукупний дохід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Переоцінка основних засобів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Інший сукупний дохід, після оподаткування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52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Сукупний дохід за період, після оподаткування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43 151</w:t>
            </w:r>
          </w:p>
        </w:tc>
      </w:tr>
    </w:tbl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DF40C2" w:rsidRPr="00205E68" w:rsidRDefault="00DF40C2" w:rsidP="00DF40C2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33591131"/>
      <w:r w:rsidRPr="00205E68">
        <w:rPr>
          <w:rFonts w:ascii="Times New Roman" w:hAnsi="Times New Roman" w:cs="Times New Roman"/>
          <w:b/>
          <w:sz w:val="24"/>
          <w:szCs w:val="24"/>
        </w:rPr>
        <w:t>ЗВІТ ПРО ФІНАНСОВИЙ СТАН</w:t>
      </w:r>
      <w:bookmarkEnd w:id="1"/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05E68">
        <w:rPr>
          <w:rFonts w:ascii="Times New Roman" w:hAnsi="Times New Roman" w:cs="Times New Roman"/>
          <w:b w:val="0"/>
          <w:sz w:val="24"/>
          <w:szCs w:val="24"/>
        </w:rPr>
        <w:instrText xml:space="preserve"> MERGEFIELD  Період_фінансової_звітності  \* MERGEFORMAT </w:instrTex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A407D0">
        <w:rPr>
          <w:rFonts w:ascii="Times New Roman" w:hAnsi="Times New Roman" w:cs="Times New Roman"/>
          <w:b w:val="0"/>
          <w:noProof/>
          <w:sz w:val="24"/>
          <w:szCs w:val="24"/>
        </w:rPr>
        <w:t>31 грудня 2021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5560"/>
        <w:gridCol w:w="1120"/>
        <w:gridCol w:w="1660"/>
        <w:gridCol w:w="1660"/>
      </w:tblGrid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Примітки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31.12.2021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31.12.2020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АКТИВИ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Необоротні активи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Основні засоби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17 832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18 190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Нематеріальні активи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Відстрочені податкові активи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Довгострокові фінансові інвестиції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85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17 919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18 280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Оборотні активи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 xml:space="preserve">Запаси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1 532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1 480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Торгова дебіторська заборгованість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45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Аванси видані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176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Дебіторська заборгованість з 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124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Інша дебіторська заборгованість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Грошові кошти та їх еквіваленти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1 958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2 356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оборотні активи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46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3 941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4 227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РАЗОМ AКТИВИ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21 860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22 507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КАПІТАЛ ТА ЗОБОВ'ЯЗАННЯ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Капітал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Акціонерний капітал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5 130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5 130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Додатковий капітал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9 039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9 039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Резервний капітал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16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Нерозподілений прибуток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(79 858)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(85 358)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(65 673)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(71 173)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Довгострокові зобов'язання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Довгострокові фінансові зобов’язання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30 923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34 740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Довгострокові забезпечення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Відстрочені податкові зобов’язання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3 013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3 013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33 936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37 753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Поточні зобов’язання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proofErr w:type="spellStart"/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Короткостркові</w:t>
            </w:r>
            <w:proofErr w:type="spellEnd"/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 xml:space="preserve"> кредити та позики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Поточна заборгованість за довгостроковими зобов’язаннями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Торгова кредиторська заборгованість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652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567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Зобов’язання перед  бюджетом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244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Зобов’язання зі страхування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123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Зобов’язання з оплати праці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744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577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Аванси отримані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23 793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25 203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Резерви, забезпечення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1 268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1 240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Інша кредиторська заборгованість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kern w:val="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26 757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27 973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53 597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55 927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 </w:t>
            </w:r>
          </w:p>
        </w:tc>
      </w:tr>
      <w:tr w:rsidR="00DF40C2" w:rsidRPr="00205E68" w:rsidTr="00B51B8D">
        <w:trPr>
          <w:trHeight w:val="2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РАЗОМ КАПІТАЛ ТА ЗОБОВ'ЯЗАННЯ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21 860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22 507</w:t>
            </w:r>
          </w:p>
        </w:tc>
      </w:tr>
    </w:tbl>
    <w:p w:rsidR="00DF40C2" w:rsidRPr="00205E68" w:rsidRDefault="00DF40C2" w:rsidP="00DF40C2">
      <w:pPr>
        <w:pStyle w:val="a3"/>
        <w:ind w:left="0"/>
        <w:rPr>
          <w:rFonts w:ascii="Times New Roman" w:hAnsi="Times New Roman" w:cs="Times New Roman"/>
        </w:rPr>
      </w:pPr>
    </w:p>
    <w:p w:rsidR="00DF40C2" w:rsidRPr="00205E68" w:rsidRDefault="00DF40C2" w:rsidP="00DF40C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0"/>
        <w:rPr>
          <w:rFonts w:cs="Times New Roman"/>
          <w:color w:val="auto"/>
          <w:kern w:val="0"/>
          <w:szCs w:val="20"/>
          <w:highlight w:val="yellow"/>
          <w:lang w:eastAsia="uk-UA"/>
        </w:rPr>
      </w:pPr>
    </w:p>
    <w:p w:rsidR="00DF40C2" w:rsidRPr="00205E68" w:rsidRDefault="00DF40C2" w:rsidP="00DF40C2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33591132"/>
      <w:r w:rsidRPr="00205E68">
        <w:rPr>
          <w:rFonts w:ascii="Times New Roman" w:hAnsi="Times New Roman" w:cs="Times New Roman"/>
          <w:b/>
          <w:sz w:val="24"/>
          <w:szCs w:val="24"/>
        </w:rPr>
        <w:t>ЗВІТ ПРО РУХ ГРОШОВИХ КОШТІВ</w:t>
      </w:r>
      <w:bookmarkEnd w:id="2"/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05E68">
        <w:rPr>
          <w:rFonts w:ascii="Times New Roman" w:hAnsi="Times New Roman" w:cs="Times New Roman"/>
          <w:b w:val="0"/>
          <w:sz w:val="24"/>
          <w:szCs w:val="24"/>
        </w:rPr>
        <w:instrText xml:space="preserve"> MERGEFIELD  Період_фінансової_звітності  \* MERGEFORMAT </w:instrTex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A407D0">
        <w:rPr>
          <w:rFonts w:ascii="Times New Roman" w:hAnsi="Times New Roman" w:cs="Times New Roman"/>
          <w:b w:val="0"/>
          <w:noProof/>
          <w:sz w:val="24"/>
          <w:szCs w:val="24"/>
        </w:rPr>
        <w:t>31 грудня 2021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9948" w:type="dxa"/>
        <w:tblInd w:w="108" w:type="dxa"/>
        <w:tblLook w:val="04A0" w:firstRow="1" w:lastRow="0" w:firstColumn="1" w:lastColumn="0" w:noHBand="0" w:noVBand="1"/>
      </w:tblPr>
      <w:tblGrid>
        <w:gridCol w:w="6532"/>
        <w:gridCol w:w="1708"/>
        <w:gridCol w:w="1708"/>
      </w:tblGrid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2021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2020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Операційна діяльність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Надходження від реалізації продукції (товарів, робіт, послуг)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25 840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22 520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Повернення податків і зборів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173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i/>
                <w:iCs/>
                <w:kern w:val="0"/>
                <w:sz w:val="18"/>
                <w:lang w:eastAsia="ru-RU"/>
              </w:rPr>
            </w:pPr>
            <w:r w:rsidRPr="00205E68">
              <w:rPr>
                <w:rFonts w:eastAsia="Times New Roman" w:cs="Times New Roman"/>
                <w:i/>
                <w:iCs/>
                <w:kern w:val="0"/>
                <w:sz w:val="18"/>
                <w:lang w:eastAsia="ru-RU"/>
              </w:rPr>
              <w:t>у тому числі податку на додану вартість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i/>
                <w:iCs/>
                <w:kern w:val="0"/>
                <w:sz w:val="18"/>
                <w:lang w:eastAsia="ru-RU"/>
              </w:rPr>
            </w:pPr>
            <w:r w:rsidRPr="00205E68">
              <w:rPr>
                <w:rFonts w:eastAsia="Times New Roman" w:cs="Times New Roman"/>
                <w:i/>
                <w:iCs/>
                <w:kern w:val="0"/>
                <w:sz w:val="18"/>
                <w:lang w:eastAsia="ru-RU"/>
              </w:rPr>
              <w:t>592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i/>
                <w:iCs/>
                <w:kern w:val="0"/>
                <w:sz w:val="18"/>
                <w:lang w:eastAsia="ru-RU"/>
              </w:rPr>
            </w:pPr>
            <w:r w:rsidRPr="00205E68">
              <w:rPr>
                <w:rFonts w:eastAsia="Times New Roman" w:cs="Times New Roman"/>
                <w:i/>
                <w:iCs/>
                <w:kern w:val="0"/>
                <w:sz w:val="18"/>
                <w:lang w:eastAsia="ru-RU"/>
              </w:rPr>
              <w:t>173</w:t>
            </w:r>
          </w:p>
        </w:tc>
      </w:tr>
      <w:tr w:rsidR="00DF40C2" w:rsidRPr="00205E68" w:rsidTr="00B51B8D">
        <w:trPr>
          <w:trHeight w:val="497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Надходження від відсотків за залишками коштів на</w:t>
            </w: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br/>
              <w:t>поточних рахунках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надходження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544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895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Витрачання на оплату товарів (робіт, послуг)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(5 942)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(4 491)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Праці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(12 453)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(10 168)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Відрахувань на соціальні заходи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(3 371)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(2 797)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Зобов’язань з податків і зборів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(4 407)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(3 757)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витрачання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(605)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(477)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Чисті потоки грошових коштів від операційної діяльності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201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1 899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Інвестиційна діяльність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Надходження від продажу необоротних активів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Отримані дивіденди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Реалізація необоротних активів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282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proofErr w:type="spellStart"/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Притбання</w:t>
            </w:r>
            <w:proofErr w:type="spellEnd"/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 xml:space="preserve"> необоротних активів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(381)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(41)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надходження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витрачання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Чисті потоки грошових коштів, використані в інвестиційній діяльності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(381)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241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Фінансова діяльність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Власного капіталу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Отримані позики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Погашення позик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Поступлення від нарахованих відсотків по рахунках в банках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Сплачені дивіденди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Сплачені відсотки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платежі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Чисті потоки грошових коштів, використані в фінансовій діяльності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color w:val="auto"/>
                <w:kern w:val="0"/>
                <w:szCs w:val="20"/>
                <w:lang w:eastAsia="ru-RU"/>
              </w:rPr>
            </w:pP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Чистий приріст грошових коштів та їх еквівалентів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(180)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2 140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Грошові кошти та їх еквіваленти на початок періоду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2 356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130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Вплив змін валютних коштів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(218)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86</w:t>
            </w:r>
          </w:p>
        </w:tc>
      </w:tr>
      <w:tr w:rsidR="00DF40C2" w:rsidRPr="00205E68" w:rsidTr="00B51B8D">
        <w:trPr>
          <w:trHeight w:val="236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Грошові кошти та їх еквіваленти на кінець періоду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1 958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right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2 356</w:t>
            </w:r>
          </w:p>
        </w:tc>
      </w:tr>
    </w:tbl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DF40C2" w:rsidRPr="00205E68" w:rsidRDefault="00DF40C2" w:rsidP="00DF40C2">
      <w:pPr>
        <w:pStyle w:val="Headingline2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33591133"/>
      <w:r w:rsidRPr="00205E68">
        <w:rPr>
          <w:rFonts w:ascii="Times New Roman" w:hAnsi="Times New Roman" w:cs="Times New Roman"/>
          <w:b/>
          <w:sz w:val="24"/>
          <w:szCs w:val="24"/>
        </w:rPr>
        <w:t>ЗВІТ ПРО ЗМІНИ У ВЛАСНОМУ КАПІТАЛІ</w:t>
      </w:r>
      <w:bookmarkEnd w:id="3"/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за рік, що закінчився 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205E68">
        <w:rPr>
          <w:rFonts w:ascii="Times New Roman" w:hAnsi="Times New Roman" w:cs="Times New Roman"/>
          <w:b w:val="0"/>
          <w:sz w:val="24"/>
          <w:szCs w:val="24"/>
        </w:rPr>
        <w:instrText xml:space="preserve"> MERGEFIELD  Період_фінансової_звітності  \* MERGEFORMAT </w:instrTex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A407D0">
        <w:rPr>
          <w:rFonts w:ascii="Times New Roman" w:hAnsi="Times New Roman" w:cs="Times New Roman"/>
          <w:b w:val="0"/>
          <w:noProof/>
          <w:sz w:val="24"/>
          <w:szCs w:val="24"/>
        </w:rPr>
        <w:t>31 грудня 2021</w:t>
      </w:r>
      <w:r w:rsidRPr="00205E68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205E68">
        <w:rPr>
          <w:rFonts w:ascii="Times New Roman" w:hAnsi="Times New Roman" w:cs="Times New Roman"/>
          <w:b w:val="0"/>
          <w:sz w:val="24"/>
          <w:szCs w:val="24"/>
        </w:rPr>
        <w:t xml:space="preserve"> року</w:t>
      </w: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  <w:r w:rsidRPr="00205E68">
        <w:rPr>
          <w:rFonts w:ascii="Times New Roman" w:hAnsi="Times New Roman" w:cs="Times New Roman"/>
          <w:b w:val="0"/>
          <w:sz w:val="24"/>
          <w:szCs w:val="24"/>
        </w:rPr>
        <w:t>(в тисячах гривнях, якщо не зазначено інше)</w:t>
      </w:r>
    </w:p>
    <w:tbl>
      <w:tblPr>
        <w:tblW w:w="9950" w:type="dxa"/>
        <w:tblInd w:w="108" w:type="dxa"/>
        <w:tblLook w:val="04A0" w:firstRow="1" w:lastRow="0" w:firstColumn="1" w:lastColumn="0" w:noHBand="0" w:noVBand="1"/>
      </w:tblPr>
      <w:tblGrid>
        <w:gridCol w:w="2945"/>
        <w:gridCol w:w="1345"/>
        <w:gridCol w:w="1357"/>
        <w:gridCol w:w="1340"/>
        <w:gridCol w:w="1671"/>
        <w:gridCol w:w="1292"/>
      </w:tblGrid>
      <w:tr w:rsidR="00DF40C2" w:rsidRPr="00205E68" w:rsidTr="00B51B8D">
        <w:trPr>
          <w:trHeight w:val="73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color w:val="auto"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Статутний капітал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Додатковий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капітал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Резервний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капітал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Нерозподілений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прибуток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(непокритий</w:t>
            </w: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br/>
              <w:t>збиток)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Разом</w:t>
            </w:r>
          </w:p>
        </w:tc>
      </w:tr>
      <w:tr w:rsidR="00DF40C2" w:rsidRPr="00205E68" w:rsidTr="00B51B8D">
        <w:trPr>
          <w:trHeight w:val="20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Станом на 31 грудня 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5 130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9 039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(85 358)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(71 173)</w:t>
            </w:r>
          </w:p>
        </w:tc>
      </w:tr>
      <w:tr w:rsidR="00DF40C2" w:rsidRPr="00205E68" w:rsidTr="00B51B8D">
        <w:trPr>
          <w:trHeight w:val="19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Виправлення помилок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0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зміни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372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Скоригований залишок на початок року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5 130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9 039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(85 358)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(71 173)</w:t>
            </w:r>
          </w:p>
        </w:tc>
      </w:tr>
      <w:tr w:rsidR="00DF40C2" w:rsidRPr="00205E68" w:rsidTr="00B51B8D">
        <w:trPr>
          <w:trHeight w:val="19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Чистий прибуток (збиток) за звітний період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5 500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5 500</w:t>
            </w:r>
          </w:p>
        </w:tc>
      </w:tr>
      <w:tr w:rsidR="00DF40C2" w:rsidRPr="00205E68" w:rsidTr="00B51B8D">
        <w:trPr>
          <w:trHeight w:val="19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Інший сукупний дохід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19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Перенесення амортизації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19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Амортизація об'єктів державної власності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19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Поповнення фонду розвитку виробництва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19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Погашення заборгованості з капіталу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0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Інші зміни в капіталі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-</w:t>
            </w:r>
          </w:p>
        </w:tc>
      </w:tr>
      <w:tr w:rsidR="00DF40C2" w:rsidRPr="00205E68" w:rsidTr="00B51B8D">
        <w:trPr>
          <w:trHeight w:val="20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Станом на 31 грудня 2021</w:t>
            </w:r>
          </w:p>
        </w:tc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5 130</w:t>
            </w:r>
          </w:p>
        </w:tc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9 039</w:t>
            </w:r>
          </w:p>
        </w:tc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(79 858)</w:t>
            </w:r>
          </w:p>
        </w:tc>
        <w:tc>
          <w:tcPr>
            <w:tcW w:w="13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F40C2" w:rsidRPr="00205E68" w:rsidRDefault="00DF40C2" w:rsidP="00B51B8D">
            <w:pPr>
              <w:suppressAutoHyphens w:val="0"/>
              <w:spacing w:line="240" w:lineRule="auto"/>
              <w:ind w:left="0"/>
              <w:jc w:val="center"/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</w:pPr>
            <w:r w:rsidRPr="00205E68">
              <w:rPr>
                <w:rFonts w:eastAsia="Times New Roman" w:cs="Times New Roman"/>
                <w:b/>
                <w:bCs/>
                <w:kern w:val="0"/>
                <w:szCs w:val="20"/>
                <w:lang w:eastAsia="ru-RU"/>
              </w:rPr>
              <w:t>(65 673)</w:t>
            </w:r>
          </w:p>
        </w:tc>
      </w:tr>
    </w:tbl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sz w:val="24"/>
          <w:szCs w:val="24"/>
        </w:rPr>
      </w:pPr>
    </w:p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B77BA8" w:rsidRPr="00205E68" w:rsidTr="00B77BA8">
        <w:trPr>
          <w:trHeight w:val="698"/>
        </w:trPr>
        <w:tc>
          <w:tcPr>
            <w:tcW w:w="4820" w:type="dxa"/>
          </w:tcPr>
          <w:p w:rsidR="00B77BA8" w:rsidRPr="00B77BA8" w:rsidRDefault="00B77BA8" w:rsidP="00B77BA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auto"/>
                <w:kern w:val="0"/>
                <w:szCs w:val="20"/>
                <w:lang w:eastAsia="uk-UA"/>
              </w:rPr>
            </w:pPr>
            <w:r w:rsidRPr="00B77BA8">
              <w:rPr>
                <w:rFonts w:cs="Times New Roman"/>
                <w:color w:val="auto"/>
                <w:kern w:val="0"/>
                <w:szCs w:val="20"/>
                <w:lang w:eastAsia="uk-UA"/>
              </w:rPr>
              <w:t xml:space="preserve">Генеральний директор </w:t>
            </w:r>
          </w:p>
          <w:p w:rsidR="00B77BA8" w:rsidRDefault="00B77BA8" w:rsidP="00B77BA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auto"/>
                <w:kern w:val="0"/>
                <w:szCs w:val="20"/>
                <w:lang w:eastAsia="uk-UA"/>
              </w:rPr>
            </w:pPr>
            <w:r w:rsidRPr="00B77BA8">
              <w:rPr>
                <w:rFonts w:cs="Times New Roman"/>
                <w:color w:val="auto"/>
                <w:kern w:val="0"/>
                <w:szCs w:val="20"/>
                <w:lang w:eastAsia="uk-UA"/>
              </w:rPr>
              <w:t>Головний бухгалтер</w:t>
            </w:r>
          </w:p>
          <w:p w:rsidR="00B77BA8" w:rsidRPr="00205E68" w:rsidRDefault="00B77BA8" w:rsidP="00B77BA8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auto"/>
                <w:kern w:val="0"/>
                <w:szCs w:val="20"/>
                <w:highlight w:val="yellow"/>
                <w:lang w:eastAsia="uk-UA"/>
              </w:rPr>
            </w:pPr>
            <w:r>
              <w:rPr>
                <w:rFonts w:cs="Times New Roman"/>
                <w:color w:val="auto"/>
                <w:kern w:val="0"/>
                <w:szCs w:val="20"/>
                <w:lang w:eastAsia="uk-UA"/>
              </w:rPr>
              <w:t>Рощина Т.І.</w:t>
            </w:r>
            <w:bookmarkStart w:id="4" w:name="_GoBack"/>
            <w:bookmarkEnd w:id="4"/>
          </w:p>
        </w:tc>
        <w:tc>
          <w:tcPr>
            <w:tcW w:w="4819" w:type="dxa"/>
          </w:tcPr>
          <w:p w:rsidR="00B77BA8" w:rsidRPr="00205E68" w:rsidRDefault="00B77BA8" w:rsidP="00B51B8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cs="Times New Roman"/>
                <w:color w:val="auto"/>
                <w:kern w:val="0"/>
                <w:szCs w:val="20"/>
                <w:highlight w:val="yellow"/>
                <w:lang w:eastAsia="uk-UA"/>
              </w:rPr>
            </w:pPr>
          </w:p>
        </w:tc>
      </w:tr>
    </w:tbl>
    <w:p w:rsidR="00DF40C2" w:rsidRPr="00205E68" w:rsidRDefault="00DF40C2" w:rsidP="00DF40C2">
      <w:pPr>
        <w:pStyle w:val="Headingline1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sectPr w:rsidR="00DF40C2" w:rsidRPr="0020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A2"/>
    <w:rsid w:val="001B351B"/>
    <w:rsid w:val="006905A2"/>
    <w:rsid w:val="00B77BA8"/>
    <w:rsid w:val="00D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9C66"/>
  <w15:chartTrackingRefBased/>
  <w15:docId w15:val="{1437B61C-6286-4446-B44B-82FC10F1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C2"/>
    <w:pPr>
      <w:suppressAutoHyphens/>
      <w:spacing w:after="0" w:line="100" w:lineRule="atLeast"/>
      <w:ind w:left="284"/>
    </w:pPr>
    <w:rPr>
      <w:rFonts w:ascii="Times New Roman" w:eastAsia="Lucida Sans Unicode" w:hAnsi="Times New Roman" w:cs="Tahoma"/>
      <w:color w:val="000000"/>
      <w:kern w:val="1"/>
      <w:sz w:val="20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line1">
    <w:name w:val="Heading line 1"/>
    <w:uiPriority w:val="99"/>
    <w:rsid w:val="00DF40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color w:val="000000"/>
      <w:sz w:val="28"/>
      <w:szCs w:val="28"/>
      <w:lang w:val="uk-UA" w:eastAsia="uk-UA"/>
    </w:rPr>
  </w:style>
  <w:style w:type="paragraph" w:customStyle="1" w:styleId="Headingline2">
    <w:name w:val="Heading line 2"/>
    <w:uiPriority w:val="99"/>
    <w:rsid w:val="00DF40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8"/>
      <w:szCs w:val="28"/>
      <w:lang w:val="uk-UA" w:eastAsia="uk-UA"/>
    </w:rPr>
  </w:style>
  <w:style w:type="paragraph" w:styleId="a3">
    <w:name w:val="No Spacing"/>
    <w:uiPriority w:val="1"/>
    <w:qFormat/>
    <w:rsid w:val="00DF40C2"/>
    <w:pPr>
      <w:suppressAutoHyphens/>
      <w:spacing w:after="0" w:line="240" w:lineRule="auto"/>
      <w:ind w:left="284"/>
    </w:pPr>
    <w:rPr>
      <w:rFonts w:ascii="Tahoma" w:eastAsia="Lucida Sans Unicode" w:hAnsi="Tahoma" w:cs="Tahoma"/>
      <w:color w:val="000000"/>
      <w:kern w:val="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2023-05-29T12:05:00Z</dcterms:created>
  <dcterms:modified xsi:type="dcterms:W3CDTF">2023-05-29T12:13:00Z</dcterms:modified>
</cp:coreProperties>
</file>